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F0E"/>
          <w:sz w:val="44"/>
        </w:rPr>
        <w:t>SAP User Acceptance Test Plan</w:t>
      </w:r>
    </w:p>
    <w:p>
      <w:r>
        <w:rPr>
          <w:b/>
          <w:color w:val="2B4A44"/>
          <w:sz w:val="22"/>
        </w:rPr>
        <w:t>Business sign-off for an S/4HANA transformation</w:t>
      </w:r>
    </w:p>
    <w:p>
      <w:r>
        <w:rPr>
          <w:b w:val="0"/>
          <w:i w:val="0"/>
        </w:rPr>
        <w:t>UAT is where the business decides whether it can do its job on the new system. In an S/4HANA program it carries an extra weight: for most users this is their first extended contact with Fiori, and their verdict is shaped as much by whether they can find things as by whether the configuration is correct.</w:t>
      </w:r>
    </w:p>
    <w:p>
      <w:pPr>
        <w:ind w:left="216"/>
      </w:pPr>
      <w:r>
        <w:rPr>
          <w:b/>
          <w:i w:val="0"/>
          <w:color w:val="2B4A44"/>
        </w:rPr>
        <w:t>How to use this template.</w:t>
      </w:r>
      <w:r>
        <w:rPr>
          <w:b w:val="0"/>
          <w:i w:val="0"/>
          <w:color w:val="2B4A44"/>
        </w:rPr>
        <w:t xml:space="preserve"> Everything in italics is guidance and should be deleted once you have replaced it. Square brackets mark a value to fill in. These four documents are designed to be used together: the strategy sets the rules, and the three plans execute them at each level. Where your program uses different level names, keep your names and map them in section 1 rather than renaming everything.</w:t>
      </w:r>
    </w:p>
    <w:p>
      <w:pPr>
        <w:pStyle w:val="Heading2"/>
      </w:pPr>
      <w:r>
        <w:rPr>
          <w:b/>
          <w:color w:val="0A0F0E"/>
          <w:sz w:val="26"/>
        </w:rPr>
        <w:t>1. Purpose and boundaries</w:t>
      </w:r>
    </w:p>
    <w:tbl>
      <w:tblPr>
        <w:tblStyle w:val="TableGrid"/>
        <w:tblW w:type="auto" w:w="0"/>
        <w:tblLook w:firstColumn="1" w:firstRow="1" w:lastColumn="0" w:lastRow="0" w:noHBand="0" w:noVBand="1" w:val="04A0"/>
      </w:tblPr>
      <w:tblGrid>
        <w:gridCol w:w="4968"/>
        <w:gridCol w:w="4968"/>
      </w:tblGrid>
      <w:tr>
        <w:tc>
          <w:tcPr>
            <w:tcW w:type="dxa" w:w="4968"/>
            <w:shd w:val="clear" w:fill="D0FF00"/>
          </w:tcPr>
          <w:p>
            <w:r/>
            <w:r>
              <w:rPr>
                <w:b/>
                <w:sz w:val="18"/>
              </w:rPr>
              <w:t>UAT is</w:t>
            </w:r>
          </w:p>
        </w:tc>
        <w:tc>
          <w:tcPr>
            <w:tcW w:type="dxa" w:w="4968"/>
            <w:shd w:val="clear" w:fill="D0FF00"/>
          </w:tcPr>
          <w:p>
            <w:r/>
            <w:r>
              <w:rPr>
                <w:b/>
                <w:sz w:val="18"/>
              </w:rPr>
              <w:t>UAT is not</w:t>
            </w:r>
          </w:p>
        </w:tc>
      </w:tr>
      <w:tr>
        <w:tc>
          <w:tcPr>
            <w:tcW w:type="dxa" w:w="4968"/>
          </w:tcPr>
          <w:p>
            <w:r>
              <w:rPr>
                <w:sz w:val="18"/>
              </w:rPr>
            </w:r>
            <w:r>
              <w:rPr>
                <w:b w:val="0"/>
                <w:i w:val="0"/>
                <w:sz w:val="18"/>
              </w:rPr>
              <w:t>Business confirmation that the process works and is usable</w:t>
            </w:r>
          </w:p>
        </w:tc>
        <w:tc>
          <w:tcPr>
            <w:tcW w:type="dxa" w:w="4968"/>
          </w:tcPr>
          <w:p>
            <w:r>
              <w:rPr>
                <w:sz w:val="18"/>
              </w:rPr>
            </w:r>
            <w:r>
              <w:rPr>
                <w:b w:val="0"/>
                <w:i w:val="0"/>
                <w:sz w:val="18"/>
              </w:rPr>
              <w:t>A second run of SIT</w:t>
            </w:r>
          </w:p>
        </w:tc>
      </w:tr>
      <w:tr>
        <w:tc>
          <w:tcPr>
            <w:tcW w:type="dxa" w:w="4968"/>
          </w:tcPr>
          <w:p>
            <w:r>
              <w:rPr>
                <w:sz w:val="18"/>
              </w:rPr>
            </w:r>
            <w:r>
              <w:rPr>
                <w:b w:val="0"/>
                <w:i w:val="0"/>
                <w:sz w:val="18"/>
              </w:rPr>
              <w:t>Executed by people who do the job today</w:t>
            </w:r>
          </w:p>
        </w:tc>
        <w:tc>
          <w:tcPr>
            <w:tcW w:type="dxa" w:w="4968"/>
          </w:tcPr>
          <w:p>
            <w:r>
              <w:rPr>
                <w:sz w:val="18"/>
              </w:rPr>
            </w:r>
            <w:r>
              <w:rPr>
                <w:b w:val="0"/>
                <w:i w:val="0"/>
                <w:sz w:val="18"/>
              </w:rPr>
              <w:t>Executed by the SI or the test team on their behalf</w:t>
            </w:r>
          </w:p>
        </w:tc>
      </w:tr>
      <w:tr>
        <w:tc>
          <w:tcPr>
            <w:tcW w:type="dxa" w:w="4968"/>
          </w:tcPr>
          <w:p>
            <w:r>
              <w:rPr>
                <w:sz w:val="18"/>
              </w:rPr>
            </w:r>
            <w:r>
              <w:rPr>
                <w:b w:val="0"/>
                <w:i w:val="0"/>
                <w:sz w:val="18"/>
              </w:rPr>
              <w:t>Against realistic data, volumes and roles</w:t>
            </w:r>
          </w:p>
        </w:tc>
        <w:tc>
          <w:tcPr>
            <w:tcW w:type="dxa" w:w="4968"/>
          </w:tcPr>
          <w:p>
            <w:r>
              <w:rPr>
                <w:sz w:val="18"/>
              </w:rPr>
            </w:r>
            <w:r>
              <w:rPr>
                <w:b w:val="0"/>
                <w:i w:val="0"/>
                <w:sz w:val="18"/>
              </w:rPr>
              <w:t>Against a handful of clean demo records</w:t>
            </w:r>
          </w:p>
        </w:tc>
      </w:tr>
      <w:tr>
        <w:tc>
          <w:tcPr>
            <w:tcW w:type="dxa" w:w="4968"/>
          </w:tcPr>
          <w:p>
            <w:r>
              <w:rPr>
                <w:sz w:val="18"/>
              </w:rPr>
            </w:r>
            <w:r>
              <w:rPr>
                <w:b w:val="0"/>
                <w:i w:val="0"/>
                <w:sz w:val="18"/>
              </w:rPr>
              <w:t>A decision: accept, accept with conditions, or reject</w:t>
            </w:r>
          </w:p>
        </w:tc>
        <w:tc>
          <w:tcPr>
            <w:tcW w:type="dxa" w:w="4968"/>
          </w:tcPr>
          <w:p>
            <w:r>
              <w:rPr>
                <w:sz w:val="18"/>
              </w:rPr>
            </w:r>
            <w:r>
              <w:rPr>
                <w:b w:val="0"/>
                <w:i w:val="0"/>
                <w:sz w:val="18"/>
              </w:rPr>
              <w:t>A phase that stops when the date arrives</w:t>
            </w:r>
          </w:p>
        </w:tc>
      </w:tr>
    </w:tbl>
    <w:p/>
    <w:p>
      <w:pPr>
        <w:ind w:left="216"/>
      </w:pPr>
      <w:r>
        <w:rPr>
          <w:b w:val="0"/>
          <w:i w:val="0"/>
          <w:color w:val="2B4A44"/>
        </w:rPr>
        <w:t>If your UAT is finding functional defects in volume, SIT exited too early. Record that as a program finding rather than absorbing it.</w:t>
      </w:r>
    </w:p>
    <w:p>
      <w:pPr>
        <w:pStyle w:val="Heading2"/>
      </w:pPr>
      <w:r>
        <w:rPr>
          <w:b/>
          <w:color w:val="0A0F0E"/>
          <w:sz w:val="26"/>
        </w:rPr>
        <w:t>2. Entry criteria</w:t>
      </w:r>
    </w:p>
    <w:p>
      <w:pPr>
        <w:pStyle w:val="ListBullet"/>
      </w:pPr>
      <w:r>
        <w:rPr>
          <w:b w:val="0"/>
          <w:i w:val="0"/>
        </w:rPr>
        <w:t>SIT exit criteria met and signed.</w:t>
      </w:r>
    </w:p>
    <w:p>
      <w:pPr>
        <w:pStyle w:val="ListBullet"/>
      </w:pPr>
      <w:r>
        <w:rPr>
          <w:b w:val="0"/>
          <w:i w:val="0"/>
        </w:rPr>
        <w:t>No open severity 1 or 2 defects.</w:t>
      </w:r>
    </w:p>
    <w:p>
      <w:pPr>
        <w:pStyle w:val="ListBullet"/>
      </w:pPr>
      <w:r>
        <w:rPr>
          <w:b w:val="0"/>
          <w:i w:val="0"/>
        </w:rPr>
        <w:t>Regression suite green on the UAT build.</w:t>
      </w:r>
    </w:p>
    <w:p>
      <w:pPr>
        <w:pStyle w:val="ListBullet"/>
      </w:pPr>
      <w:r>
        <w:rPr>
          <w:b w:val="0"/>
          <w:i w:val="0"/>
        </w:rPr>
        <w:t>UAT environment refreshed with realistic master data.</w:t>
      </w:r>
    </w:p>
    <w:p>
      <w:pPr>
        <w:pStyle w:val="ListBullet"/>
      </w:pPr>
      <w:r>
        <w:rPr>
          <w:b w:val="0"/>
          <w:i w:val="0"/>
        </w:rPr>
        <w:t>Roles and authorizations assigned to the actual test users.</w:t>
      </w:r>
    </w:p>
    <w:p>
      <w:pPr>
        <w:pStyle w:val="ListBullet"/>
      </w:pPr>
      <w:r>
        <w:rPr>
          <w:b w:val="0"/>
          <w:i w:val="0"/>
        </w:rPr>
        <w:t>Named business participants confirmed, with time formally allocated and backfilled.</w:t>
      </w:r>
    </w:p>
    <w:p>
      <w:r>
        <w:rPr>
          <w:b w:val="0"/>
          <w:i w:val="0"/>
          <w:color w:val="2B4A44"/>
        </w:rPr>
        <w:t xml:space="preserve">UAT environment: </w:t>
      </w:r>
      <w:r>
        <w:rPr>
          <w:color w:val="729B79"/>
        </w:rPr>
        <w:t>…………………………………………………………………………………………………………</w:t>
      </w:r>
    </w:p>
    <w:p>
      <w:r>
        <w:rPr>
          <w:b w:val="0"/>
          <w:i w:val="0"/>
          <w:color w:val="2B4A44"/>
        </w:rPr>
        <w:t xml:space="preserve">Build / transport level: </w:t>
      </w:r>
      <w:r>
        <w:rPr>
          <w:color w:val="729B79"/>
        </w:rPr>
        <w:t>…………………………………………………………………………………………………………</w:t>
      </w:r>
    </w:p>
    <w:p>
      <w:r>
        <w:rPr>
          <w:b w:val="0"/>
          <w:i w:val="0"/>
          <w:color w:val="2B4A44"/>
        </w:rPr>
        <w:t xml:space="preserve">Data refreshed on: </w:t>
      </w:r>
      <w:r>
        <w:rPr>
          <w:color w:val="729B79"/>
        </w:rPr>
        <w:t>…………………………………………………………………………………………………………</w:t>
      </w:r>
    </w:p>
    <w:p>
      <w:r>
        <w:rPr>
          <w:b w:val="0"/>
          <w:i w:val="0"/>
          <w:color w:val="2B4A44"/>
        </w:rPr>
        <w:t xml:space="preserve">Regression result and date: </w:t>
      </w:r>
      <w:r>
        <w:rPr>
          <w:color w:val="729B79"/>
        </w:rPr>
        <w:t>…………………………………………………………………………………………………………</w:t>
      </w:r>
    </w:p>
    <w:p>
      <w:pPr>
        <w:pStyle w:val="Heading2"/>
      </w:pPr>
      <w:r>
        <w:rPr>
          <w:b/>
          <w:color w:val="0A0F0E"/>
          <w:sz w:val="26"/>
        </w:rPr>
        <w:t>3. Participants</w:t>
      </w:r>
    </w:p>
    <w:p>
      <w:pPr>
        <w:ind w:left="216"/>
      </w:pPr>
      <w:r>
        <w:rPr>
          <w:b w:val="0"/>
          <w:i/>
          <w:color w:val="2B4A44"/>
        </w:rPr>
        <w:t>The most common cause of a failed SAP UAT is participants who were volunteered rather than released from their day job.</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Business area</w:t>
            </w:r>
          </w:p>
        </w:tc>
        <w:tc>
          <w:tcPr>
            <w:tcW w:type="dxa" w:w="1987"/>
            <w:shd w:val="clear" w:fill="D0FF00"/>
          </w:tcPr>
          <w:p>
            <w:r/>
            <w:r>
              <w:rPr>
                <w:b/>
                <w:sz w:val="18"/>
              </w:rPr>
              <w:t>Named participant</w:t>
            </w:r>
          </w:p>
        </w:tc>
        <w:tc>
          <w:tcPr>
            <w:tcW w:type="dxa" w:w="1987"/>
            <w:shd w:val="clear" w:fill="D0FF00"/>
          </w:tcPr>
          <w:p>
            <w:r/>
            <w:r>
              <w:rPr>
                <w:b/>
                <w:sz w:val="18"/>
              </w:rPr>
              <w:t>Role(s) assigned</w:t>
            </w:r>
          </w:p>
        </w:tc>
        <w:tc>
          <w:tcPr>
            <w:tcW w:type="dxa" w:w="1987"/>
            <w:shd w:val="clear" w:fill="D0FF00"/>
          </w:tcPr>
          <w:p>
            <w:r/>
            <w:r>
              <w:rPr>
                <w:b/>
                <w:sz w:val="18"/>
              </w:rPr>
              <w:t>Days allocated</w:t>
            </w:r>
          </w:p>
        </w:tc>
        <w:tc>
          <w:tcPr>
            <w:tcW w:type="dxa" w:w="1987"/>
            <w:shd w:val="clear" w:fill="D0FF00"/>
          </w:tcPr>
          <w:p>
            <w:r/>
            <w:r>
              <w:rPr>
                <w:b/>
                <w:sz w:val="18"/>
              </w:rPr>
              <w:t>Backfilled by</w:t>
            </w:r>
          </w:p>
        </w:tc>
      </w:tr>
      <w:tr>
        <w:tc>
          <w:tcPr>
            <w:tcW w:type="dxa" w:w="1987"/>
          </w:tcPr>
          <w:p>
            <w:r>
              <w:rPr>
                <w:sz w:val="18"/>
              </w:rPr>
            </w:r>
            <w:r>
              <w:rPr>
                <w:b w:val="0"/>
                <w:i w:val="0"/>
                <w:sz w:val="18"/>
              </w:rPr>
              <w:t>[Sales]</w:t>
            </w:r>
          </w:p>
        </w:tc>
        <w:tc>
          <w:tcPr>
            <w:tcW w:type="dxa" w:w="1987"/>
          </w:tcPr>
          <w:p>
            <w:r>
              <w:rPr>
                <w:sz w:val="18"/>
              </w:rPr>
            </w:r>
            <w:r>
              <w:rPr>
                <w:b w:val="0"/>
                <w:i w:val="0"/>
                <w:sz w:val="18"/>
              </w:rPr>
              <w:t>[  ]</w:t>
            </w:r>
          </w:p>
        </w:tc>
        <w:tc>
          <w:tcPr>
            <w:tcW w:type="dxa" w:w="1987"/>
          </w:tcPr>
          <w:p>
            <w:r>
              <w:rPr>
                <w:sz w:val="18"/>
              </w:rPr>
            </w:r>
            <w:r>
              <w:rPr>
                <w:b w:val="0"/>
                <w:i w:val="0"/>
                <w:sz w:val="18"/>
              </w:rPr>
              <w:t>[Z_SD_CLERK]</w:t>
            </w:r>
          </w:p>
        </w:tc>
        <w:tc>
          <w:tcPr>
            <w:tcW w:type="dxa" w:w="1987"/>
          </w:tcPr>
          <w:p>
            <w:r>
              <w:rPr>
                <w:sz w:val="18"/>
              </w:rPr>
            </w:r>
            <w:r>
              <w:rPr>
                <w:b w:val="0"/>
                <w:i w:val="0"/>
                <w:sz w:val="18"/>
              </w:rPr>
              <w:t>[  ]</w:t>
            </w:r>
          </w:p>
        </w:tc>
        <w:tc>
          <w:tcPr>
            <w:tcW w:type="dxa" w:w="1987"/>
          </w:tcPr>
          <w:p>
            <w:r>
              <w:rPr>
                <w:sz w:val="18"/>
              </w:rPr>
            </w:r>
            <w:r>
              <w:rPr>
                <w:b w:val="0"/>
                <w:i w:val="0"/>
                <w:sz w:val="18"/>
              </w:rPr>
              <w:t>[  ]</w:t>
            </w:r>
          </w:p>
        </w:tc>
      </w:tr>
      <w:tr>
        <w:tc>
          <w:tcPr>
            <w:tcW w:type="dxa" w:w="1987"/>
          </w:tcPr>
          <w:p>
            <w:r>
              <w:rPr>
                <w:sz w:val="18"/>
              </w:rPr>
            </w:r>
            <w:r>
              <w:rPr>
                <w:b w:val="0"/>
                <w:i w:val="0"/>
                <w:sz w:val="18"/>
              </w:rPr>
              <w:t>[Finance]</w:t>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r>
        <w:tc>
          <w:tcPr>
            <w:tcW w:type="dxa" w:w="1987"/>
          </w:tcPr>
          <w:p>
            <w:r>
              <w:rPr>
                <w:sz w:val="18"/>
              </w:rPr>
            </w:r>
            <w:r>
              <w:rPr>
                <w:b w:val="0"/>
                <w:i w:val="0"/>
                <w:sz w:val="18"/>
              </w:rPr>
              <w:t>[Warehouse]</w:t>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r>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bl>
    <w:p/>
    <w:p>
      <w:pPr>
        <w:pStyle w:val="Heading2"/>
      </w:pPr>
      <w:r>
        <w:rPr>
          <w:b/>
          <w:color w:val="0A0F0E"/>
          <w:sz w:val="26"/>
        </w:rPr>
        <w:t>4. Scenarios</w:t>
      </w:r>
    </w:p>
    <w:p>
      <w:pPr>
        <w:ind w:left="216"/>
      </w:pPr>
      <w:r>
        <w:rPr>
          <w:b w:val="0"/>
          <w:i/>
          <w:color w:val="2B4A44"/>
        </w:rPr>
        <w:t>Write in the language of the job. "Raise a credit note for a customer who returned two of five items" — not "test VA01 variant 3".</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w:t>
            </w:r>
          </w:p>
        </w:tc>
        <w:tc>
          <w:tcPr>
            <w:tcW w:type="dxa" w:w="1656"/>
            <w:shd w:val="clear" w:fill="D0FF00"/>
          </w:tcPr>
          <w:p>
            <w:r/>
            <w:r>
              <w:rPr>
                <w:b/>
                <w:sz w:val="18"/>
              </w:rPr>
              <w:t>Scenario</w:t>
            </w:r>
          </w:p>
        </w:tc>
        <w:tc>
          <w:tcPr>
            <w:tcW w:type="dxa" w:w="1656"/>
            <w:shd w:val="clear" w:fill="D0FF00"/>
          </w:tcPr>
          <w:p>
            <w:r/>
            <w:r>
              <w:rPr>
                <w:b/>
                <w:sz w:val="18"/>
              </w:rPr>
              <w:t>Business area</w:t>
            </w:r>
          </w:p>
        </w:tc>
        <w:tc>
          <w:tcPr>
            <w:tcW w:type="dxa" w:w="1656"/>
            <w:shd w:val="clear" w:fill="D0FF00"/>
          </w:tcPr>
          <w:p>
            <w:r/>
            <w:r>
              <w:rPr>
                <w:b/>
                <w:sz w:val="18"/>
              </w:rPr>
              <w:t>Role used</w:t>
            </w:r>
          </w:p>
        </w:tc>
        <w:tc>
          <w:tcPr>
            <w:tcW w:type="dxa" w:w="1656"/>
            <w:shd w:val="clear" w:fill="D0FF00"/>
          </w:tcPr>
          <w:p>
            <w:r/>
            <w:r>
              <w:rPr>
                <w:b/>
                <w:sz w:val="18"/>
              </w:rPr>
              <w:t>Acceptance criteria</w:t>
            </w:r>
          </w:p>
        </w:tc>
        <w:tc>
          <w:tcPr>
            <w:tcW w:type="dxa" w:w="1656"/>
            <w:shd w:val="clear" w:fill="D0FF00"/>
          </w:tcPr>
          <w:p>
            <w:r/>
            <w:r>
              <w:rPr>
                <w:b/>
                <w:sz w:val="18"/>
              </w:rPr>
              <w:t>Result</w:t>
            </w:r>
          </w:p>
        </w:tc>
      </w:tr>
      <w:tr>
        <w:tc>
          <w:tcPr>
            <w:tcW w:type="dxa" w:w="1656"/>
          </w:tcPr>
          <w:p>
            <w:r>
              <w:rPr>
                <w:sz w:val="18"/>
              </w:rPr>
            </w:r>
            <w:r>
              <w:rPr>
                <w:b w:val="0"/>
                <w:i w:val="0"/>
                <w:sz w:val="18"/>
              </w:rPr>
              <w:t>1</w:t>
            </w:r>
          </w:p>
        </w:tc>
        <w:tc>
          <w:tcPr>
            <w:tcW w:type="dxa" w:w="1656"/>
          </w:tcPr>
          <w:p>
            <w:r>
              <w:rPr>
                <w:sz w:val="18"/>
              </w:rPr>
            </w:r>
            <w:r>
              <w:rPr>
                <w:b w:val="0"/>
                <w:i w:val="0"/>
                <w:sz w:val="18"/>
              </w:rPr>
              <w:t>[  ]</w:t>
            </w:r>
          </w:p>
        </w:tc>
        <w:tc>
          <w:tcPr>
            <w:tcW w:type="dxa" w:w="1656"/>
          </w:tcPr>
          <w:p>
            <w:r>
              <w:rPr>
                <w:sz w:val="18"/>
              </w:rPr>
            </w:r>
            <w:r>
              <w:rPr>
                <w:b w:val="0"/>
                <w:i w:val="0"/>
                <w:sz w:val="18"/>
              </w:rPr>
              <w:t>[  ]</w:t>
            </w:r>
          </w:p>
        </w:tc>
        <w:tc>
          <w:tcPr>
            <w:tcW w:type="dxa" w:w="1656"/>
          </w:tcPr>
          <w:p>
            <w:r>
              <w:rPr>
                <w:sz w:val="18"/>
              </w:rPr>
            </w:r>
            <w:r>
              <w:rPr>
                <w:b w:val="0"/>
                <w:i w:val="0"/>
                <w:sz w:val="18"/>
              </w:rPr>
              <w:t>[  ]</w:t>
            </w:r>
          </w:p>
        </w:tc>
        <w:tc>
          <w:tcPr>
            <w:tcW w:type="dxa" w:w="1656"/>
          </w:tcPr>
          <w:p>
            <w:r>
              <w:rPr>
                <w:sz w:val="18"/>
              </w:rPr>
            </w:r>
            <w:r>
              <w:rPr>
                <w:b w:val="0"/>
                <w:i w:val="0"/>
                <w:sz w:val="18"/>
              </w:rPr>
              <w:t>[  ]</w:t>
            </w:r>
          </w:p>
        </w:tc>
        <w:tc>
          <w:tcPr>
            <w:tcW w:type="dxa" w:w="1656"/>
          </w:tcPr>
          <w:p>
            <w:r>
              <w:rPr>
                <w:sz w:val="18"/>
              </w:rPr>
            </w:r>
            <w:r>
              <w:rPr>
                <w:b w:val="0"/>
                <w:i w:val="0"/>
                <w:sz w:val="18"/>
              </w:rPr>
              <w:t>[  ]</w:t>
            </w:r>
          </w:p>
        </w:tc>
      </w:tr>
      <w:tr>
        <w:tc>
          <w:tcPr>
            <w:tcW w:type="dxa" w:w="1656"/>
          </w:tcPr>
          <w:p>
            <w:r>
              <w:rPr>
                <w:sz w:val="18"/>
              </w:rPr>
            </w:r>
            <w:r>
              <w:rPr>
                <w:b w:val="0"/>
                <w:i w:val="0"/>
                <w:sz w:val="18"/>
              </w:rPr>
              <w:t>2</w:t>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r>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r>
        <w:rPr>
          <w:b w:val="0"/>
          <w:i w:val="0"/>
        </w:rPr>
        <w:t xml:space="preserve">Cover at minimum: every critical process from the strategy, one deliberately awkward case per area, period-end activities if they fall in the window, and at least one scenario per role that confirms a user </w:t>
      </w:r>
      <w:r>
        <w:rPr>
          <w:b/>
          <w:i w:val="0"/>
        </w:rPr>
        <w:t>cannot</w:t>
      </w:r>
      <w:r>
        <w:rPr>
          <w:b w:val="0"/>
          <w:i w:val="0"/>
        </w:rPr>
        <w:t xml:space="preserve"> do something they should not.</w:t>
      </w:r>
    </w:p>
    <w:p>
      <w:pPr>
        <w:pStyle w:val="Heading2"/>
      </w:pPr>
      <w:r>
        <w:rPr>
          <w:b/>
          <w:color w:val="0A0F0E"/>
          <w:sz w:val="26"/>
        </w:rPr>
        <w:t>5. Fiori usability feedback</w:t>
      </w:r>
    </w:p>
    <w:p>
      <w:pPr>
        <w:ind w:left="216"/>
      </w:pPr>
      <w:r>
        <w:rPr>
          <w:b w:val="0"/>
          <w:i/>
          <w:color w:val="2B4A44"/>
        </w:rPr>
        <w:t>Capture this separately from defects. It is the feedback most likely to be dismissed as noise and most likely to drive adoption problems after go-live.</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Observation</w:t>
            </w:r>
          </w:p>
        </w:tc>
        <w:tc>
          <w:tcPr>
            <w:tcW w:type="dxa" w:w="1987"/>
            <w:shd w:val="clear" w:fill="D0FF00"/>
          </w:tcPr>
          <w:p>
            <w:r/>
            <w:r>
              <w:rPr>
                <w:b/>
                <w:sz w:val="18"/>
              </w:rPr>
              <w:t>Area</w:t>
            </w:r>
          </w:p>
        </w:tc>
        <w:tc>
          <w:tcPr>
            <w:tcW w:type="dxa" w:w="1987"/>
            <w:shd w:val="clear" w:fill="D0FF00"/>
          </w:tcPr>
          <w:p>
            <w:r/>
            <w:r>
              <w:rPr>
                <w:b/>
                <w:sz w:val="18"/>
              </w:rPr>
              <w:t>Impact on adoption (H/M/L)</w:t>
            </w:r>
          </w:p>
        </w:tc>
        <w:tc>
          <w:tcPr>
            <w:tcW w:type="dxa" w:w="1987"/>
            <w:shd w:val="clear" w:fill="D0FF00"/>
          </w:tcPr>
          <w:p>
            <w:r/>
            <w:r>
              <w:rPr>
                <w:b/>
                <w:sz w:val="18"/>
              </w:rPr>
              <w:t>Action</w:t>
            </w:r>
          </w:p>
        </w:tc>
        <w:tc>
          <w:tcPr>
            <w:tcW w:type="dxa" w:w="1987"/>
            <w:shd w:val="clear" w:fill="D0FF00"/>
          </w:tcPr>
          <w:p>
            <w:r/>
            <w:r>
              <w:rPr>
                <w:b/>
                <w:sz w:val="18"/>
              </w:rPr>
              <w:t>Owner</w:t>
            </w:r>
          </w:p>
        </w:tc>
      </w:tr>
      <w:tr>
        <w:tc>
          <w:tcPr>
            <w:tcW w:type="dxa" w:w="1987"/>
          </w:tcPr>
          <w:p>
            <w:r>
              <w:rPr>
                <w:sz w:val="18"/>
              </w:rPr>
            </w:r>
            <w:r>
              <w:rPr>
                <w:b w:val="0"/>
                <w:i w:val="0"/>
                <w:sz w:val="18"/>
              </w:rPr>
              <w:t>[cannot find the app for X from the launchpad]</w:t>
            </w:r>
          </w:p>
        </w:tc>
        <w:tc>
          <w:tcPr>
            <w:tcW w:type="dxa" w:w="1987"/>
          </w:tcPr>
          <w:p>
            <w:r>
              <w:rPr>
                <w:sz w:val="18"/>
              </w:rPr>
            </w:r>
            <w:r>
              <w:rPr>
                <w:b w:val="0"/>
                <w:i w:val="0"/>
                <w:sz w:val="18"/>
              </w:rPr>
              <w:t>[  ]</w:t>
            </w:r>
          </w:p>
        </w:tc>
        <w:tc>
          <w:tcPr>
            <w:tcW w:type="dxa" w:w="1987"/>
          </w:tcPr>
          <w:p>
            <w:r>
              <w:rPr>
                <w:sz w:val="18"/>
              </w:rPr>
            </w:r>
            <w:r>
              <w:rPr>
                <w:b w:val="0"/>
                <w:i w:val="0"/>
                <w:sz w:val="18"/>
              </w:rPr>
              <w:t>[H]</w:t>
            </w:r>
          </w:p>
        </w:tc>
        <w:tc>
          <w:tcPr>
            <w:tcW w:type="dxa" w:w="1987"/>
          </w:tcPr>
          <w:p>
            <w:r>
              <w:rPr>
                <w:sz w:val="18"/>
              </w:rPr>
            </w:r>
            <w:r>
              <w:rPr>
                <w:b w:val="0"/>
                <w:i w:val="0"/>
                <w:sz w:val="18"/>
              </w:rPr>
              <w:t>[launchpad grouping / training]</w:t>
            </w:r>
          </w:p>
        </w:tc>
        <w:tc>
          <w:tcPr>
            <w:tcW w:type="dxa" w:w="1987"/>
          </w:tcPr>
          <w:p>
            <w:r>
              <w:rPr>
                <w:sz w:val="18"/>
              </w:rPr>
            </w:r>
            <w:r>
              <w:rPr>
                <w:b w:val="0"/>
                <w:i w:val="0"/>
                <w:sz w:val="18"/>
              </w:rPr>
              <w:t>[  ]</w:t>
            </w:r>
          </w:p>
        </w:tc>
      </w:tr>
      <w:tr>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bl>
    <w:p/>
    <w:p>
      <w:pPr>
        <w:pStyle w:val="Heading2"/>
      </w:pPr>
      <w:r>
        <w:rPr>
          <w:b/>
          <w:color w:val="0A0F0E"/>
          <w:sz w:val="26"/>
        </w:rPr>
        <w:t>6. Defects and change requests</w:t>
      </w:r>
    </w:p>
    <w:tbl>
      <w:tblPr>
        <w:tblStyle w:val="TableGrid"/>
        <w:tblW w:type="auto" w:w="0"/>
        <w:tblLook w:firstColumn="1" w:firstRow="1" w:lastColumn="0" w:lastRow="0" w:noHBand="0" w:noVBand="1" w:val="04A0"/>
      </w:tblPr>
      <w:tblGrid>
        <w:gridCol w:w="3312"/>
        <w:gridCol w:w="3312"/>
        <w:gridCol w:w="3312"/>
      </w:tblGrid>
      <w:tr>
        <w:tc>
          <w:tcPr>
            <w:tcW w:type="dxa" w:w="3312"/>
            <w:shd w:val="clear" w:fill="D0FF00"/>
          </w:tcPr>
          <w:p>
            <w:r/>
            <w:r>
              <w:rPr>
                <w:b/>
                <w:sz w:val="18"/>
              </w:rPr>
              <w:t>Type</w:t>
            </w:r>
          </w:p>
        </w:tc>
        <w:tc>
          <w:tcPr>
            <w:tcW w:type="dxa" w:w="3312"/>
            <w:shd w:val="clear" w:fill="D0FF00"/>
          </w:tcPr>
          <w:p>
            <w:r/>
            <w:r>
              <w:rPr>
                <w:b/>
                <w:sz w:val="18"/>
              </w:rPr>
              <w:t>Meaning</w:t>
            </w:r>
          </w:p>
        </w:tc>
        <w:tc>
          <w:tcPr>
            <w:tcW w:type="dxa" w:w="3312"/>
            <w:shd w:val="clear" w:fill="D0FF00"/>
          </w:tcPr>
          <w:p>
            <w:r/>
            <w:r>
              <w:rPr>
                <w:b/>
                <w:sz w:val="18"/>
              </w:rPr>
              <w:t>Route</w:t>
            </w:r>
          </w:p>
        </w:tc>
      </w:tr>
      <w:tr>
        <w:tc>
          <w:tcPr>
            <w:tcW w:type="dxa" w:w="3312"/>
          </w:tcPr>
          <w:p>
            <w:r>
              <w:rPr>
                <w:sz w:val="18"/>
              </w:rPr>
            </w:r>
            <w:r>
              <w:rPr>
                <w:b/>
                <w:i w:val="0"/>
                <w:sz w:val="18"/>
              </w:rPr>
              <w:t>Defect</w:t>
            </w:r>
          </w:p>
        </w:tc>
        <w:tc>
          <w:tcPr>
            <w:tcW w:type="dxa" w:w="3312"/>
          </w:tcPr>
          <w:p>
            <w:r>
              <w:rPr>
                <w:sz w:val="18"/>
              </w:rPr>
            </w:r>
            <w:r>
              <w:rPr>
                <w:b w:val="0"/>
                <w:i w:val="0"/>
                <w:sz w:val="18"/>
              </w:rPr>
              <w:t>Does not match the agreed design</w:t>
            </w:r>
          </w:p>
        </w:tc>
        <w:tc>
          <w:tcPr>
            <w:tcW w:type="dxa" w:w="3312"/>
          </w:tcPr>
          <w:p>
            <w:r>
              <w:rPr>
                <w:sz w:val="18"/>
              </w:rPr>
            </w:r>
            <w:r>
              <w:rPr>
                <w:b w:val="0"/>
                <w:i w:val="0"/>
                <w:sz w:val="18"/>
              </w:rPr>
              <w:t>Fix before go-live</w:t>
            </w:r>
          </w:p>
        </w:tc>
      </w:tr>
      <w:tr>
        <w:tc>
          <w:tcPr>
            <w:tcW w:type="dxa" w:w="3312"/>
          </w:tcPr>
          <w:p>
            <w:r>
              <w:rPr>
                <w:sz w:val="18"/>
              </w:rPr>
            </w:r>
            <w:r>
              <w:rPr>
                <w:b/>
                <w:i w:val="0"/>
                <w:sz w:val="18"/>
              </w:rPr>
              <w:t>Change request</w:t>
            </w:r>
          </w:p>
        </w:tc>
        <w:tc>
          <w:tcPr>
            <w:tcW w:type="dxa" w:w="3312"/>
          </w:tcPr>
          <w:p>
            <w:r>
              <w:rPr>
                <w:sz w:val="18"/>
              </w:rPr>
            </w:r>
            <w:r>
              <w:rPr>
                <w:b w:val="0"/>
                <w:i w:val="0"/>
                <w:sz w:val="18"/>
              </w:rPr>
              <w:t>Matches the design, and the design is wrong</w:t>
            </w:r>
          </w:p>
        </w:tc>
        <w:tc>
          <w:tcPr>
            <w:tcW w:type="dxa" w:w="3312"/>
          </w:tcPr>
          <w:p>
            <w:r>
              <w:rPr>
                <w:sz w:val="18"/>
              </w:rPr>
            </w:r>
            <w:r>
              <w:rPr>
                <w:b w:val="0"/>
                <w:i w:val="0"/>
                <w:sz w:val="18"/>
              </w:rPr>
              <w:t>Backlog — does not block unless critical</w:t>
            </w:r>
          </w:p>
        </w:tc>
      </w:tr>
      <w:tr>
        <w:tc>
          <w:tcPr>
            <w:tcW w:type="dxa" w:w="3312"/>
          </w:tcPr>
          <w:p>
            <w:r>
              <w:rPr>
                <w:sz w:val="18"/>
              </w:rPr>
            </w:r>
            <w:r>
              <w:rPr>
                <w:b/>
                <w:i w:val="0"/>
                <w:sz w:val="18"/>
              </w:rPr>
              <w:t>Training or usability</w:t>
            </w:r>
          </w:p>
        </w:tc>
        <w:tc>
          <w:tcPr>
            <w:tcW w:type="dxa" w:w="3312"/>
          </w:tcPr>
          <w:p>
            <w:r>
              <w:rPr>
                <w:sz w:val="18"/>
              </w:rPr>
            </w:r>
            <w:r>
              <w:rPr>
                <w:b w:val="0"/>
                <w:i w:val="0"/>
                <w:sz w:val="18"/>
              </w:rPr>
              <w:t>Works as designed; the user could not complete it unaided</w:t>
            </w:r>
          </w:p>
        </w:tc>
        <w:tc>
          <w:tcPr>
            <w:tcW w:type="dxa" w:w="3312"/>
          </w:tcPr>
          <w:p>
            <w:r>
              <w:rPr>
                <w:sz w:val="18"/>
              </w:rPr>
            </w:r>
            <w:r>
              <w:rPr>
                <w:b w:val="0"/>
                <w:i w:val="0"/>
                <w:sz w:val="18"/>
              </w:rPr>
              <w:t>Training, launchpad or documentation — not a code fix</w:t>
            </w:r>
          </w:p>
        </w:tc>
      </w:tr>
    </w:tbl>
    <w:p/>
    <w:p>
      <w:r>
        <w:rPr>
          <w:b w:val="0"/>
          <w:i w:val="0"/>
        </w:rPr>
        <w:t>Separating the third category is what keeps a go-live decision honest. It is also, in most S/4HANA programs, the largest of the three.</w:t>
      </w:r>
    </w:p>
    <w:p>
      <w:pPr>
        <w:pStyle w:val="Heading2"/>
      </w:pPr>
      <w:r>
        <w:rPr>
          <w:b/>
          <w:color w:val="0A0F0E"/>
          <w:sz w:val="26"/>
        </w:rPr>
        <w:t>7. Sign-off</w:t>
      </w:r>
    </w:p>
    <w:tbl>
      <w:tblPr>
        <w:tblStyle w:val="TableGrid"/>
        <w:tblW w:type="auto" w:w="0"/>
        <w:tblLook w:firstColumn="1" w:firstRow="1" w:lastColumn="0" w:lastRow="0" w:noHBand="0" w:noVBand="1" w:val="04A0"/>
      </w:tblPr>
      <w:tblGrid>
        <w:gridCol w:w="4968"/>
        <w:gridCol w:w="4968"/>
      </w:tblGrid>
      <w:tr>
        <w:tc>
          <w:tcPr>
            <w:tcW w:type="dxa" w:w="4968"/>
            <w:shd w:val="clear" w:fill="D0FF00"/>
          </w:tcPr>
          <w:p>
            <w:r/>
            <w:r>
              <w:rPr>
                <w:b/>
                <w:sz w:val="18"/>
              </w:rPr>
              <w:t>Decision</w:t>
            </w:r>
          </w:p>
        </w:tc>
        <w:tc>
          <w:tcPr>
            <w:tcW w:type="dxa" w:w="4968"/>
            <w:shd w:val="clear" w:fill="D0FF00"/>
          </w:tcPr>
          <w:p>
            <w:r/>
            <w:r>
              <w:rPr>
                <w:b/>
                <w:sz w:val="18"/>
              </w:rPr>
              <w:t>Meaning</w:t>
            </w:r>
          </w:p>
        </w:tc>
      </w:tr>
      <w:tr>
        <w:tc>
          <w:tcPr>
            <w:tcW w:type="dxa" w:w="4968"/>
          </w:tcPr>
          <w:p>
            <w:r>
              <w:rPr>
                <w:sz w:val="18"/>
              </w:rPr>
            </w:r>
            <w:r>
              <w:rPr>
                <w:b/>
                <w:i w:val="0"/>
                <w:sz w:val="18"/>
              </w:rPr>
              <w:t>Accept</w:t>
            </w:r>
          </w:p>
        </w:tc>
        <w:tc>
          <w:tcPr>
            <w:tcW w:type="dxa" w:w="4968"/>
          </w:tcPr>
          <w:p>
            <w:r>
              <w:rPr>
                <w:sz w:val="18"/>
              </w:rPr>
            </w:r>
            <w:r>
              <w:rPr>
                <w:b w:val="0"/>
                <w:i w:val="0"/>
                <w:sz w:val="18"/>
              </w:rPr>
              <w:t>Go-live proceeds</w:t>
            </w:r>
          </w:p>
        </w:tc>
      </w:tr>
      <w:tr>
        <w:tc>
          <w:tcPr>
            <w:tcW w:type="dxa" w:w="4968"/>
          </w:tcPr>
          <w:p>
            <w:r>
              <w:rPr>
                <w:sz w:val="18"/>
              </w:rPr>
            </w:r>
            <w:r>
              <w:rPr>
                <w:b/>
                <w:i w:val="0"/>
                <w:sz w:val="18"/>
              </w:rPr>
              <w:t>Accept with conditions</w:t>
            </w:r>
          </w:p>
        </w:tc>
        <w:tc>
          <w:tcPr>
            <w:tcW w:type="dxa" w:w="4968"/>
          </w:tcPr>
          <w:p>
            <w:r>
              <w:rPr>
                <w:sz w:val="18"/>
              </w:rPr>
            </w:r>
            <w:r>
              <w:rPr>
                <w:b w:val="0"/>
                <w:i w:val="0"/>
                <w:sz w:val="18"/>
              </w:rPr>
              <w:t>Proceeds; listed items fixed by an agreed date in hypercare</w:t>
            </w:r>
          </w:p>
        </w:tc>
      </w:tr>
      <w:tr>
        <w:tc>
          <w:tcPr>
            <w:tcW w:type="dxa" w:w="4968"/>
          </w:tcPr>
          <w:p>
            <w:r>
              <w:rPr>
                <w:sz w:val="18"/>
              </w:rPr>
            </w:r>
            <w:r>
              <w:rPr>
                <w:b/>
                <w:i w:val="0"/>
                <w:sz w:val="18"/>
              </w:rPr>
              <w:t>Reject</w:t>
            </w:r>
          </w:p>
        </w:tc>
        <w:tc>
          <w:tcPr>
            <w:tcW w:type="dxa" w:w="4968"/>
          </w:tcPr>
          <w:p>
            <w:r>
              <w:rPr>
                <w:sz w:val="18"/>
              </w:rPr>
            </w:r>
            <w:r>
              <w:rPr>
                <w:b w:val="0"/>
                <w:i w:val="0"/>
                <w:sz w:val="18"/>
              </w:rPr>
              <w:t>Does not proceed; re-entry criteria stated</w:t>
            </w:r>
          </w:p>
        </w:tc>
      </w:tr>
    </w:tbl>
    <w:p/>
    <w:p>
      <w:r>
        <w:rPr>
          <w:b w:val="0"/>
          <w:i w:val="0"/>
          <w:color w:val="2B4A44"/>
        </w:rPr>
        <w:t xml:space="preserve">Decision: </w:t>
      </w:r>
      <w:r>
        <w:rPr>
          <w:color w:val="729B79"/>
        </w:rPr>
        <w:t>…………………………………………………………………………………………………………</w:t>
      </w:r>
    </w:p>
    <w:p>
      <w:r>
        <w:rPr>
          <w:b w:val="0"/>
          <w:i w:val="0"/>
          <w:color w:val="2B4A44"/>
        </w:rPr>
        <w:t xml:space="preserve">Business process owner / date: </w:t>
      </w:r>
      <w:r>
        <w:rPr>
          <w:color w:val="729B79"/>
        </w:rPr>
        <w:t>…………………………………………………………………………………………………………</w:t>
      </w:r>
    </w:p>
    <w:p>
      <w:r>
        <w:rPr>
          <w:b w:val="0"/>
          <w:i w:val="0"/>
          <w:color w:val="2B4A44"/>
        </w:rPr>
        <w:t xml:space="preserve">Program lead / date: </w:t>
      </w:r>
      <w:r>
        <w:rPr>
          <w:color w:val="729B79"/>
        </w:rPr>
        <w:t>…………………………………………………………………………………………………………</w:t>
      </w:r>
    </w:p>
    <w:p>
      <w:r>
        <w:rPr>
          <w:b w:val="0"/>
          <w:i w:val="0"/>
          <w:color w:val="2B4A44"/>
        </w:rPr>
        <w:t xml:space="preserve">Conditions: </w:t>
      </w:r>
      <w:r>
        <w:rPr>
          <w:color w:val="729B79"/>
        </w:rPr>
        <w:t>…………………………………………………………………………………………………………</w:t>
      </w:r>
    </w:p>
    <w:p>
      <w:r>
        <w:rPr>
          <w:b w:val="0"/>
          <w:i w:val="0"/>
          <w:color w:val="2B4A44"/>
        </w:rPr>
        <w:t xml:space="preserve">Hypercare owner: </w:t>
      </w:r>
      <w:r>
        <w:rPr>
          <w:color w:val="729B79"/>
        </w:rPr>
        <w:t>…………………………………………………………………………………………………………</w:t>
      </w:r>
    </w:p>
    <w:p>
      <w:pPr>
        <w:pStyle w:val="Heading2"/>
      </w:pPr>
      <w:r>
        <w:rPr>
          <w:b/>
          <w:color w:val="0A0F0E"/>
          <w:sz w:val="26"/>
        </w:rPr>
        <w:t>8. Turning UAT into regression</w:t>
      </w:r>
    </w:p>
    <w:p>
      <w:pPr>
        <w:ind w:left="216"/>
      </w:pPr>
      <w:r>
        <w:rPr>
          <w:b w:val="0"/>
          <w:i/>
          <w:color w:val="2B4A44"/>
        </w:rPr>
        <w:t>Do this before the participants go back to their day jobs and the knowledge disperses.</w:t>
      </w:r>
    </w:p>
    <w:p>
      <w:r>
        <w:rPr>
          <w:b w:val="0"/>
          <w:i w:val="0"/>
        </w:rPr>
        <w:t>Every UAT scenario that will be re-executed at the next wave, the next support pack or the next transport is regression testing wearing a UAT badge. Identify those now.</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UAT scenario</w:t>
            </w:r>
          </w:p>
        </w:tc>
        <w:tc>
          <w:tcPr>
            <w:tcW w:type="dxa" w:w="1987"/>
            <w:shd w:val="clear" w:fill="D0FF00"/>
          </w:tcPr>
          <w:p>
            <w:r/>
            <w:r>
              <w:rPr>
                <w:b/>
                <w:sz w:val="18"/>
              </w:rPr>
              <w:t>Re-run at every wave?</w:t>
            </w:r>
          </w:p>
        </w:tc>
        <w:tc>
          <w:tcPr>
            <w:tcW w:type="dxa" w:w="1987"/>
            <w:shd w:val="clear" w:fill="D0FF00"/>
          </w:tcPr>
          <w:p>
            <w:r/>
            <w:r>
              <w:rPr>
                <w:b/>
                <w:sz w:val="18"/>
              </w:rPr>
              <w:t>Access route</w:t>
            </w:r>
          </w:p>
        </w:tc>
        <w:tc>
          <w:tcPr>
            <w:tcW w:type="dxa" w:w="1987"/>
            <w:shd w:val="clear" w:fill="D0FF00"/>
          </w:tcPr>
          <w:p>
            <w:r/>
            <w:r>
              <w:rPr>
                <w:b/>
                <w:sz w:val="18"/>
              </w:rPr>
              <w:t>Deterministic?</w:t>
            </w:r>
          </w:p>
        </w:tc>
        <w:tc>
          <w:tcPr>
            <w:tcW w:type="dxa" w:w="1987"/>
            <w:shd w:val="clear" w:fill="D0FF00"/>
          </w:tcPr>
          <w:p>
            <w:r/>
            <w:r>
              <w:rPr>
                <w:b/>
                <w:sz w:val="18"/>
              </w:rPr>
              <w:t>Automate?</w:t>
            </w:r>
          </w:p>
        </w:tc>
      </w:tr>
      <w:tr>
        <w:tc>
          <w:tcPr>
            <w:tcW w:type="dxa" w:w="1987"/>
          </w:tcPr>
          <w:p>
            <w:r>
              <w:rPr>
                <w:sz w:val="18"/>
              </w:rPr>
            </w:r>
            <w:r>
              <w:rPr>
                <w:b w:val="0"/>
                <w:i w:val="0"/>
                <w:sz w:val="18"/>
              </w:rPr>
              <w:t>[  ]</w:t>
            </w:r>
          </w:p>
        </w:tc>
        <w:tc>
          <w:tcPr>
            <w:tcW w:type="dxa" w:w="1987"/>
          </w:tcPr>
          <w:p>
            <w:r>
              <w:rPr>
                <w:sz w:val="18"/>
              </w:rPr>
            </w:r>
            <w:r>
              <w:rPr>
                <w:b w:val="0"/>
                <w:i w:val="0"/>
                <w:sz w:val="18"/>
              </w:rPr>
              <w:t>[yes]</w:t>
            </w:r>
          </w:p>
        </w:tc>
        <w:tc>
          <w:tcPr>
            <w:tcW w:type="dxa" w:w="1987"/>
          </w:tcPr>
          <w:p>
            <w:r>
              <w:rPr>
                <w:sz w:val="18"/>
              </w:rPr>
            </w:r>
            <w:r>
              <w:rPr>
                <w:b w:val="0"/>
                <w:i w:val="0"/>
                <w:sz w:val="18"/>
              </w:rPr>
              <w:t>[Fiori]</w:t>
            </w:r>
          </w:p>
        </w:tc>
        <w:tc>
          <w:tcPr>
            <w:tcW w:type="dxa" w:w="1987"/>
          </w:tcPr>
          <w:p>
            <w:r>
              <w:rPr>
                <w:sz w:val="18"/>
              </w:rPr>
            </w:r>
            <w:r>
              <w:rPr>
                <w:b w:val="0"/>
                <w:i w:val="0"/>
                <w:sz w:val="18"/>
              </w:rPr>
              <w:t>[yes]</w:t>
            </w:r>
          </w:p>
        </w:tc>
        <w:tc>
          <w:tcPr>
            <w:tcW w:type="dxa" w:w="1987"/>
          </w:tcPr>
          <w:p>
            <w:r>
              <w:rPr>
                <w:sz w:val="18"/>
              </w:rPr>
            </w:r>
            <w:r>
              <w:rPr>
                <w:b w:val="0"/>
                <w:i w:val="0"/>
                <w:sz w:val="18"/>
              </w:rPr>
              <w:t>[yes]</w:t>
            </w:r>
          </w:p>
        </w:tc>
      </w:tr>
      <w:tr>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bl>
    <w:p/>
    <w:p>
      <w:r>
        <w:rPr>
          <w:b w:val="0"/>
          <w:i w:val="0"/>
        </w:rPr>
        <w:t xml:space="preserve">Studio drives a </w:t>
      </w:r>
      <w:r>
        <w:rPr>
          <w:b/>
          <w:i w:val="0"/>
        </w:rPr>
        <w:t>real browser</w:t>
      </w:r>
      <w:r>
        <w:rPr>
          <w:b w:val="0"/>
          <w:i w:val="0"/>
        </w:rPr>
        <w:t xml:space="preserve">. That covers </w:t>
      </w:r>
      <w:r>
        <w:rPr>
          <w:b/>
          <w:i w:val="0"/>
        </w:rPr>
        <w:t>SAP Fiori</w:t>
      </w:r>
      <w:r>
        <w:rPr>
          <w:b w:val="0"/>
          <w:i w:val="0"/>
        </w:rPr>
        <w:t xml:space="preserve"> and </w:t>
      </w:r>
      <w:r>
        <w:rPr>
          <w:b/>
          <w:i w:val="0"/>
        </w:rPr>
        <w:t>SAP GUI for HTML (Web GUI)</w:t>
      </w:r>
      <w:r>
        <w:rPr>
          <w:b w:val="0"/>
          <w:i w:val="0"/>
        </w:rPr>
        <w:t xml:space="preserve">, plus the surrounding web applications in scope — Ariba, SuccessFactors, Concur, supplier and customer portals, and your own custom front ends. It does </w:t>
      </w:r>
      <w:r>
        <w:rPr>
          <w:b/>
          <w:i w:val="0"/>
        </w:rPr>
        <w:t>not</w:t>
      </w:r>
      <w:r>
        <w:rPr>
          <w:b w:val="0"/>
          <w:i w:val="0"/>
        </w:rPr>
        <w:t xml:space="preserve"> drive SAP GUI for Windows, which is a desktop client. Classify each in-scope transaction by its access route before you plan automation, because that one column decides what is and is not a candidate.</w:t>
      </w:r>
    </w:p>
    <w:p>
      <w:pPr>
        <w:ind w:left="216"/>
      </w:pPr>
      <w:r>
        <w:rPr>
          <w:b/>
          <w:i w:val="0"/>
          <w:color w:val="2B4A44"/>
        </w:rPr>
        <w:t>With Functionize Studio:</w:t>
      </w:r>
      <w:r>
        <w:rPr>
          <w:b w:val="0"/>
          <w:i w:val="0"/>
          <w:color w:val="2B4A44"/>
        </w:rPr>
        <w:t xml:space="preserve"> because a test is written and read in plain language, the business user who signed the scenario off can read the automated version and confirm it still tests what they accepted. In a program where the SI eventually leaves, that is the difference between a regression suite the business owns and one it merely inherits.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2B4A44"/>
        <w:sz w:val="15"/>
      </w:rPr>
      <w:t>SAP User Acceptance Test Plan  —  Functionize template  —  www.functionize.com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371600" cy="298938"/>
          <wp:docPr id="1" name="Picture 1"/>
          <wp:cNvGraphicFramePr>
            <a:graphicFrameLocks noChangeAspect="1"/>
          </wp:cNvGraphicFramePr>
          <a:graphic>
            <a:graphicData uri="http://schemas.openxmlformats.org/drawingml/2006/picture">
              <pic:pic>
                <pic:nvPicPr>
                  <pic:cNvPr id="0" name="logo-ink.png"/>
                  <pic:cNvPicPr/>
                </pic:nvPicPr>
                <pic:blipFill>
                  <a:blip r:embed="rId1"/>
                  <a:stretch>
                    <a:fillRect/>
                  </a:stretch>
                </pic:blipFill>
                <pic:spPr>
                  <a:xfrm>
                    <a:off x="0" y="0"/>
                    <a:ext cx="1371600" cy="29893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