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F0E"/>
          <w:sz w:val="44"/>
        </w:rPr>
        <w:t>SAP TUT and FUT Test Plan</w:t>
      </w:r>
    </w:p>
    <w:p>
      <w:r>
        <w:rPr>
          <w:b/>
          <w:color w:val="2B4A44"/>
          <w:sz w:val="22"/>
        </w:rPr>
        <w:t>Technical and functional unit testing for an S/4HANA program</w:t>
      </w:r>
    </w:p>
    <w:p>
      <w:r>
        <w:rPr>
          <w:b w:val="0"/>
          <w:i w:val="0"/>
        </w:rPr>
        <w:t>Unit-level testing in an SAP program splits in two: technical unit testing of custom objects, and functional unit testing of configured process steps. Both are executed before anything is integrated, and the quality of both determines how much pain SIT delivers.</w:t>
      </w:r>
    </w:p>
    <w:p>
      <w:pPr>
        <w:ind w:left="216"/>
      </w:pPr>
      <w:r>
        <w:rPr>
          <w:b/>
          <w:i w:val="0"/>
          <w:color w:val="2B4A44"/>
        </w:rPr>
        <w:t>How to use this template.</w:t>
      </w:r>
      <w:r>
        <w:rPr>
          <w:b w:val="0"/>
          <w:i w:val="0"/>
          <w:color w:val="2B4A44"/>
        </w:rPr>
        <w:t xml:space="preserve"> Everything in italics is guidance and should be deleted once you have replaced it. Square brackets mark a value to fill in. These four documents are designed to be used together: the strategy sets the rules, and the three plans execute them at each level. Where your program uses different level names, keep your names and map them in section 1 rather than renaming everything.</w:t>
      </w:r>
    </w:p>
    <w:p>
      <w:pPr>
        <w:pStyle w:val="Heading2"/>
      </w:pPr>
      <w:r>
        <w:rPr>
          <w:b/>
          <w:color w:val="0A0F0E"/>
          <w:sz w:val="26"/>
        </w:rPr>
        <w:t>1. Scope</w:t>
      </w:r>
    </w:p>
    <w:p>
      <w:r>
        <w:rPr>
          <w:b w:val="0"/>
          <w:i w:val="0"/>
          <w:color w:val="2B4A44"/>
        </w:rPr>
        <w:t xml:space="preserve">Wave / release covered: </w:t>
      </w:r>
      <w:r>
        <w:rPr>
          <w:color w:val="729B79"/>
        </w:rPr>
        <w:t>…………………………………………………………………………………………………………</w:t>
      </w:r>
    </w:p>
    <w:p>
      <w:r>
        <w:rPr>
          <w:b w:val="0"/>
          <w:i w:val="0"/>
          <w:color w:val="2B4A44"/>
        </w:rPr>
        <w:t xml:space="preserve">Modules in scope: </w:t>
      </w:r>
      <w:r>
        <w:rPr>
          <w:color w:val="729B79"/>
        </w:rPr>
        <w:t>…………………………………………………………………………………………………………</w:t>
      </w:r>
    </w:p>
    <w:p>
      <w:r>
        <w:rPr>
          <w:b w:val="0"/>
          <w:i w:val="0"/>
          <w:color w:val="2B4A44"/>
        </w:rPr>
        <w:t xml:space="preserve">Number of WRICEF objects in scope: </w:t>
      </w:r>
      <w:r>
        <w:rPr>
          <w:color w:val="729B79"/>
        </w:rPr>
        <w:t>…………………………………………………………………………………………………………</w:t>
      </w:r>
    </w:p>
    <w:p>
      <w:r>
        <w:rPr>
          <w:b w:val="0"/>
          <w:i w:val="0"/>
          <w:color w:val="2B4A44"/>
        </w:rPr>
        <w:t xml:space="preserve">FUT owner: </w:t>
      </w:r>
      <w:r>
        <w:rPr>
          <w:color w:val="729B79"/>
        </w:rPr>
        <w:t>…………………………………………………………………………………………………………</w:t>
      </w:r>
    </w:p>
    <w:p>
      <w:r>
        <w:rPr>
          <w:b w:val="0"/>
          <w:i w:val="0"/>
          <w:color w:val="2B4A44"/>
        </w:rPr>
        <w:t xml:space="preserve">TUT owner: </w:t>
      </w:r>
      <w:r>
        <w:rPr>
          <w:color w:val="729B79"/>
        </w:rPr>
        <w:t>…………………………………………………………………………………………………………</w:t>
      </w:r>
    </w:p>
    <w:p>
      <w:pPr>
        <w:pStyle w:val="Heading2"/>
      </w:pPr>
      <w:r>
        <w:rPr>
          <w:b/>
          <w:color w:val="0A0F0E"/>
          <w:sz w:val="26"/>
        </w:rPr>
        <w:t>2. Technical Unit Test — custom objects</w:t>
      </w:r>
    </w:p>
    <w:p>
      <w:pPr>
        <w:ind w:left="216"/>
      </w:pPr>
      <w:r>
        <w:rPr>
          <w:b w:val="0"/>
          <w:i/>
          <w:color w:val="2B4A44"/>
        </w:rPr>
        <w:t>One row per WRICEF object. Evidence is the deliverable: a screenshot or log attached to the object, not a tick in a spreadsheet.</w:t>
      </w:r>
    </w:p>
    <w:tbl>
      <w:tblPr>
        <w:tblStyle w:val="TableGrid"/>
        <w:tblW w:type="auto" w:w="0"/>
        <w:tblLook w:firstColumn="1" w:firstRow="1" w:lastColumn="0" w:lastRow="0" w:noHBand="0" w:noVBand="1" w:val="04A0"/>
      </w:tblPr>
      <w:tblGrid>
        <w:gridCol w:w="1419"/>
        <w:gridCol w:w="1419"/>
        <w:gridCol w:w="1419"/>
        <w:gridCol w:w="1419"/>
        <w:gridCol w:w="1419"/>
        <w:gridCol w:w="1419"/>
        <w:gridCol w:w="1419"/>
      </w:tblGrid>
      <w:tr>
        <w:tc>
          <w:tcPr>
            <w:tcW w:type="dxa" w:w="1419"/>
            <w:shd w:val="clear" w:fill="D0FF00"/>
          </w:tcPr>
          <w:p>
            <w:r/>
            <w:r>
              <w:rPr>
                <w:b/>
                <w:sz w:val="18"/>
              </w:rPr>
              <w:t>Object ID</w:t>
            </w:r>
          </w:p>
        </w:tc>
        <w:tc>
          <w:tcPr>
            <w:tcW w:type="dxa" w:w="1419"/>
            <w:shd w:val="clear" w:fill="D0FF00"/>
          </w:tcPr>
          <w:p>
            <w:r/>
            <w:r>
              <w:rPr>
                <w:b/>
                <w:sz w:val="18"/>
              </w:rPr>
              <w:t>Type(W/R/I/C/E/F)</w:t>
            </w:r>
          </w:p>
        </w:tc>
        <w:tc>
          <w:tcPr>
            <w:tcW w:type="dxa" w:w="1419"/>
            <w:shd w:val="clear" w:fill="D0FF00"/>
          </w:tcPr>
          <w:p>
            <w:r/>
            <w:r>
              <w:rPr>
                <w:b/>
                <w:sz w:val="18"/>
              </w:rPr>
              <w:t>Description</w:t>
            </w:r>
          </w:p>
        </w:tc>
        <w:tc>
          <w:tcPr>
            <w:tcW w:type="dxa" w:w="1419"/>
            <w:shd w:val="clear" w:fill="D0FF00"/>
          </w:tcPr>
          <w:p>
            <w:r/>
            <w:r>
              <w:rPr>
                <w:b/>
                <w:sz w:val="18"/>
              </w:rPr>
              <w:t>Developer</w:t>
            </w:r>
          </w:p>
        </w:tc>
        <w:tc>
          <w:tcPr>
            <w:tcW w:type="dxa" w:w="1419"/>
            <w:shd w:val="clear" w:fill="D0FF00"/>
          </w:tcPr>
          <w:p>
            <w:r/>
            <w:r>
              <w:rPr>
                <w:b/>
                <w:sz w:val="18"/>
              </w:rPr>
              <w:t>Test data used</w:t>
            </w:r>
          </w:p>
        </w:tc>
        <w:tc>
          <w:tcPr>
            <w:tcW w:type="dxa" w:w="1419"/>
            <w:shd w:val="clear" w:fill="D0FF00"/>
          </w:tcPr>
          <w:p>
            <w:r/>
            <w:r>
              <w:rPr>
                <w:b/>
                <w:sz w:val="18"/>
              </w:rPr>
              <w:t>Result</w:t>
            </w:r>
          </w:p>
        </w:tc>
        <w:tc>
          <w:tcPr>
            <w:tcW w:type="dxa" w:w="1419"/>
            <w:shd w:val="clear" w:fill="D0FF00"/>
          </w:tcPr>
          <w:p>
            <w:r/>
            <w:r>
              <w:rPr>
                <w:b/>
                <w:sz w:val="18"/>
              </w:rPr>
              <w:t>Evidence attached</w:t>
            </w:r>
          </w:p>
        </w:tc>
      </w:tr>
      <w:tr>
        <w:tc>
          <w:tcPr>
            <w:tcW w:type="dxa" w:w="1419"/>
          </w:tcPr>
          <w:p>
            <w:r>
              <w:rPr>
                <w:sz w:val="18"/>
              </w:rPr>
            </w:r>
            <w:r>
              <w:rPr>
                <w:b w:val="0"/>
                <w:i w:val="0"/>
                <w:sz w:val="18"/>
              </w:rPr>
              <w:t>[RICEF-104]</w:t>
            </w:r>
          </w:p>
        </w:tc>
        <w:tc>
          <w:tcPr>
            <w:tcW w:type="dxa" w:w="1419"/>
          </w:tcPr>
          <w:p>
            <w:r>
              <w:rPr>
                <w:sz w:val="18"/>
              </w:rPr>
            </w:r>
            <w:r>
              <w:rPr>
                <w:b w:val="0"/>
                <w:i w:val="0"/>
                <w:sz w:val="18"/>
              </w:rPr>
              <w:t>[I]</w:t>
            </w:r>
          </w:p>
        </w:tc>
        <w:tc>
          <w:tcPr>
            <w:tcW w:type="dxa" w:w="1419"/>
          </w:tcPr>
          <w:p>
            <w:r>
              <w:rPr>
                <w:sz w:val="18"/>
              </w:rPr>
            </w:r>
            <w:r>
              <w:rPr>
                <w:b w:val="0"/>
                <w:i w:val="0"/>
                <w:sz w:val="18"/>
              </w:rPr>
              <w:t>[inbound IDoc — order confirmation]</w:t>
            </w:r>
          </w:p>
        </w:tc>
        <w:tc>
          <w:tcPr>
            <w:tcW w:type="dxa" w:w="1419"/>
          </w:tcPr>
          <w:p>
            <w:r>
              <w:rPr>
                <w:sz w:val="18"/>
              </w:rPr>
            </w:r>
            <w:r>
              <w:rPr>
                <w:b w:val="0"/>
                <w:i w:val="0"/>
                <w:sz w:val="18"/>
              </w:rPr>
              <w:t>[  ]</w:t>
            </w:r>
          </w:p>
        </w:tc>
        <w:tc>
          <w:tcPr>
            <w:tcW w:type="dxa" w:w="1419"/>
          </w:tcPr>
          <w:p>
            <w:r>
              <w:rPr>
                <w:sz w:val="18"/>
              </w:rPr>
            </w:r>
            <w:r>
              <w:rPr>
                <w:b w:val="0"/>
                <w:i w:val="0"/>
                <w:sz w:val="18"/>
              </w:rPr>
              <w:t>[  ]</w:t>
            </w:r>
          </w:p>
        </w:tc>
        <w:tc>
          <w:tcPr>
            <w:tcW w:type="dxa" w:w="1419"/>
          </w:tcPr>
          <w:p>
            <w:r>
              <w:rPr>
                <w:sz w:val="18"/>
              </w:rPr>
            </w:r>
            <w:r>
              <w:rPr>
                <w:b w:val="0"/>
                <w:i w:val="0"/>
                <w:sz w:val="18"/>
              </w:rPr>
              <w:t>[pass/fail]</w:t>
            </w:r>
          </w:p>
        </w:tc>
        <w:tc>
          <w:tcPr>
            <w:tcW w:type="dxa" w:w="1419"/>
          </w:tcPr>
          <w:p>
            <w:r>
              <w:rPr>
                <w:sz w:val="18"/>
              </w:rPr>
            </w:r>
            <w:r>
              <w:rPr>
                <w:b w:val="0"/>
                <w:i w:val="0"/>
                <w:sz w:val="18"/>
              </w:rPr>
              <w:t>[y/n]</w:t>
            </w:r>
          </w:p>
        </w:tc>
      </w:tr>
      <w:tr>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r>
    </w:tbl>
    <w:p/>
    <w:p>
      <w:r>
        <w:rPr>
          <w:b w:val="0"/>
          <w:i w:val="0"/>
        </w:rPr>
        <w:t>Interfaces and conversions deserve extra attention, because they are the objects most likely to pass in isolation and fail in SIT:</w:t>
      </w:r>
    </w:p>
    <w:p>
      <w:pPr>
        <w:pStyle w:val="ListBullet"/>
      </w:pPr>
      <w:r>
        <w:rPr>
          <w:b/>
          <w:i w:val="0"/>
        </w:rPr>
        <w:t>Interfaces</w:t>
      </w:r>
      <w:r>
        <w:rPr>
          <w:b w:val="0"/>
          <w:i w:val="0"/>
        </w:rPr>
        <w:t xml:space="preserve"> — test the error path, not just the happy path. What happens to a malformed message, a duplicate, a message for a customer that does not exist?</w:t>
      </w:r>
    </w:p>
    <w:p>
      <w:pPr>
        <w:pStyle w:val="ListBullet"/>
      </w:pPr>
      <w:r>
        <w:rPr>
          <w:b/>
          <w:i w:val="0"/>
        </w:rPr>
        <w:t>Conversions</w:t>
      </w:r>
      <w:r>
        <w:rPr>
          <w:b w:val="0"/>
          <w:i w:val="0"/>
        </w:rPr>
        <w:t xml:space="preserve"> — test with production-shaped volumes and production-shaped mess, not with ten tidy records.</w:t>
      </w:r>
    </w:p>
    <w:p>
      <w:pPr>
        <w:pStyle w:val="ListBullet"/>
      </w:pPr>
      <w:r>
        <w:rPr>
          <w:b/>
          <w:i w:val="0"/>
        </w:rPr>
        <w:t>Forms and output</w:t>
      </w:r>
      <w:r>
        <w:rPr>
          <w:b w:val="0"/>
          <w:i w:val="0"/>
        </w:rPr>
        <w:t xml:space="preserve"> — check the rendered output, not just that the job ran.</w:t>
      </w:r>
    </w:p>
    <w:p>
      <w:pPr>
        <w:pStyle w:val="ListBullet"/>
      </w:pPr>
      <w:r>
        <w:rPr>
          <w:b/>
          <w:i w:val="0"/>
        </w:rPr>
        <w:t>Enhancements</w:t>
      </w:r>
      <w:r>
        <w:rPr>
          <w:b w:val="0"/>
          <w:i w:val="0"/>
        </w:rPr>
        <w:t xml:space="preserve"> — confirm the standard path still works with the enhancement inactive as well as active.</w:t>
      </w:r>
    </w:p>
    <w:p>
      <w:pPr>
        <w:pStyle w:val="Heading2"/>
      </w:pPr>
      <w:r>
        <w:rPr>
          <w:b/>
          <w:color w:val="0A0F0E"/>
          <w:sz w:val="26"/>
        </w:rPr>
        <w:t>3. Functional Unit Test — configured steps</w:t>
      </w:r>
    </w:p>
    <w:p>
      <w:pPr>
        <w:ind w:left="216"/>
      </w:pPr>
      <w:r>
        <w:rPr>
          <w:b w:val="0"/>
          <w:i/>
          <w:color w:val="2B4A44"/>
        </w:rPr>
        <w:t>One row per process step. These scripts are the raw material for SIT and, later, for your automated regression suite — so write them as though somebody else will execute them, because somebody else will.</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Step ID</w:t>
            </w:r>
          </w:p>
        </w:tc>
        <w:tc>
          <w:tcPr>
            <w:tcW w:type="dxa" w:w="1656"/>
            <w:shd w:val="clear" w:fill="D0FF00"/>
          </w:tcPr>
          <w:p>
            <w:r/>
            <w:r>
              <w:rPr>
                <w:b/>
                <w:sz w:val="18"/>
              </w:rPr>
              <w:t>Process</w:t>
            </w:r>
          </w:p>
        </w:tc>
        <w:tc>
          <w:tcPr>
            <w:tcW w:type="dxa" w:w="1656"/>
            <w:shd w:val="clear" w:fill="D0FF00"/>
          </w:tcPr>
          <w:p>
            <w:r/>
            <w:r>
              <w:rPr>
                <w:b/>
                <w:sz w:val="18"/>
              </w:rPr>
              <w:t>Transaction / Fiori app</w:t>
            </w:r>
          </w:p>
        </w:tc>
        <w:tc>
          <w:tcPr>
            <w:tcW w:type="dxa" w:w="1656"/>
            <w:shd w:val="clear" w:fill="D0FF00"/>
          </w:tcPr>
          <w:p>
            <w:r/>
            <w:r>
              <w:rPr>
                <w:b/>
                <w:sz w:val="18"/>
              </w:rPr>
              <w:t>Pre-conditions</w:t>
            </w:r>
          </w:p>
        </w:tc>
        <w:tc>
          <w:tcPr>
            <w:tcW w:type="dxa" w:w="1656"/>
            <w:shd w:val="clear" w:fill="D0FF00"/>
          </w:tcPr>
          <w:p>
            <w:r/>
            <w:r>
              <w:rPr>
                <w:b/>
                <w:sz w:val="18"/>
              </w:rPr>
              <w:t>Expected result</w:t>
            </w:r>
          </w:p>
        </w:tc>
        <w:tc>
          <w:tcPr>
            <w:tcW w:type="dxa" w:w="1656"/>
            <w:shd w:val="clear" w:fill="D0FF00"/>
          </w:tcPr>
          <w:p>
            <w:r/>
            <w:r>
              <w:rPr>
                <w:b/>
                <w:sz w:val="18"/>
              </w:rPr>
              <w:t>Result</w:t>
            </w:r>
          </w:p>
        </w:tc>
      </w:tr>
      <w:tr>
        <w:tc>
          <w:tcPr>
            <w:tcW w:type="dxa" w:w="1656"/>
          </w:tcPr>
          <w:p>
            <w:r>
              <w:rPr>
                <w:sz w:val="18"/>
              </w:rPr>
            </w:r>
            <w:r>
              <w:rPr>
                <w:b w:val="0"/>
                <w:i w:val="0"/>
                <w:sz w:val="18"/>
              </w:rPr>
              <w:t>[FUT-O2C-010]</w:t>
            </w:r>
          </w:p>
        </w:tc>
        <w:tc>
          <w:tcPr>
            <w:tcW w:type="dxa" w:w="1656"/>
          </w:tcPr>
          <w:p>
            <w:r>
              <w:rPr>
                <w:sz w:val="18"/>
              </w:rPr>
            </w:r>
            <w:r>
              <w:rPr>
                <w:b w:val="0"/>
                <w:i w:val="0"/>
                <w:sz w:val="18"/>
              </w:rPr>
              <w:t>[O2C-01]</w:t>
            </w:r>
          </w:p>
        </w:tc>
        <w:tc>
          <w:tcPr>
            <w:tcW w:type="dxa" w:w="1656"/>
          </w:tcPr>
          <w:p>
            <w:r>
              <w:rPr>
                <w:sz w:val="18"/>
              </w:rPr>
            </w:r>
            <w:r>
              <w:rPr>
                <w:b w:val="0"/>
                <w:i w:val="0"/>
                <w:sz w:val="18"/>
              </w:rPr>
              <w:t>[VA01 / F1234]</w:t>
            </w:r>
          </w:p>
        </w:tc>
        <w:tc>
          <w:tcPr>
            <w:tcW w:type="dxa" w:w="1656"/>
          </w:tcPr>
          <w:p>
            <w:r>
              <w:rPr>
                <w:sz w:val="18"/>
              </w:rPr>
            </w:r>
            <w:r>
              <w:rPr>
                <w:b w:val="0"/>
                <w:i w:val="0"/>
                <w:sz w:val="18"/>
              </w:rPr>
              <w:t>[customer and material exist]</w:t>
            </w:r>
          </w:p>
        </w:tc>
        <w:tc>
          <w:tcPr>
            <w:tcW w:type="dxa" w:w="1656"/>
          </w:tcPr>
          <w:p>
            <w:r>
              <w:rPr>
                <w:sz w:val="18"/>
              </w:rPr>
            </w:r>
            <w:r>
              <w:rPr>
                <w:b w:val="0"/>
                <w:i w:val="0"/>
                <w:sz w:val="18"/>
              </w:rPr>
              <w:t>[order created, status = open]</w:t>
            </w:r>
          </w:p>
        </w:tc>
        <w:tc>
          <w:tcPr>
            <w:tcW w:type="dxa" w:w="1656"/>
          </w:tcPr>
          <w:p>
            <w:r>
              <w:rPr>
                <w:sz w:val="18"/>
              </w:rPr>
            </w:r>
            <w:r>
              <w:rPr>
                <w:b w:val="0"/>
                <w:i w:val="0"/>
                <w:sz w:val="18"/>
              </w:rPr>
              <w:t>[  ]</w:t>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r>
        <w:rPr>
          <w:b w:val="0"/>
          <w:i w:val="0"/>
        </w:rPr>
        <w:t xml:space="preserve">Write the expected result as a </w:t>
      </w:r>
      <w:r>
        <w:rPr>
          <w:b/>
          <w:i w:val="0"/>
        </w:rPr>
        <w:t>specific, checkable value</w:t>
      </w:r>
      <w:r>
        <w:rPr>
          <w:b w:val="0"/>
          <w:i w:val="0"/>
        </w:rPr>
        <w:t>. "Order is created" passes when the order is created with the wrong pricing; "order created with net value 1,250.00 EUR and status Open" does not.</w:t>
      </w:r>
    </w:p>
    <w:p>
      <w:pPr>
        <w:pStyle w:val="Heading2"/>
      </w:pPr>
      <w:r>
        <w:rPr>
          <w:b/>
          <w:color w:val="0A0F0E"/>
          <w:sz w:val="26"/>
        </w:rPr>
        <w:t>4. Access route classification</w:t>
      </w:r>
    </w:p>
    <w:p>
      <w:r>
        <w:rPr>
          <w:b w:val="0"/>
          <w:i w:val="0"/>
        </w:rPr>
        <w:t xml:space="preserve">Studio drives a </w:t>
      </w:r>
      <w:r>
        <w:rPr>
          <w:b/>
          <w:i w:val="0"/>
        </w:rPr>
        <w:t>real browser</w:t>
      </w:r>
      <w:r>
        <w:rPr>
          <w:b w:val="0"/>
          <w:i w:val="0"/>
        </w:rPr>
        <w:t xml:space="preserve">. That covers </w:t>
      </w:r>
      <w:r>
        <w:rPr>
          <w:b/>
          <w:i w:val="0"/>
        </w:rPr>
        <w:t>SAP Fiori</w:t>
      </w:r>
      <w:r>
        <w:rPr>
          <w:b w:val="0"/>
          <w:i w:val="0"/>
        </w:rPr>
        <w:t xml:space="preserve"> and </w:t>
      </w:r>
      <w:r>
        <w:rPr>
          <w:b/>
          <w:i w:val="0"/>
        </w:rPr>
        <w:t>SAP GUI for HTML (Web GUI)</w:t>
      </w:r>
      <w:r>
        <w:rPr>
          <w:b w:val="0"/>
          <w:i w:val="0"/>
        </w:rPr>
        <w:t xml:space="preserve">, plus the surrounding web applications in scope — Ariba, SuccessFactors, Concur, supplier and customer portals, and your own custom front ends. It does </w:t>
      </w:r>
      <w:r>
        <w:rPr>
          <w:b/>
          <w:i w:val="0"/>
        </w:rPr>
        <w:t>not</w:t>
      </w:r>
      <w:r>
        <w:rPr>
          <w:b w:val="0"/>
          <w:i w:val="0"/>
        </w:rPr>
        <w:t xml:space="preserve"> drive SAP GUI for Windows, which is a desktop client. Classify each in-scope transaction by its access route before you plan automation, because that one column decides what is and is not a candidate.</w:t>
      </w:r>
    </w:p>
    <w:tbl>
      <w:tblPr>
        <w:tblStyle w:val="TableGrid"/>
        <w:tblW w:type="auto" w:w="0"/>
        <w:tblLook w:firstColumn="1" w:firstRow="1" w:lastColumn="0" w:lastRow="0" w:noHBand="0" w:noVBand="1" w:val="04A0"/>
      </w:tblPr>
      <w:tblGrid>
        <w:gridCol w:w="3312"/>
        <w:gridCol w:w="3312"/>
        <w:gridCol w:w="3312"/>
      </w:tblGrid>
      <w:tr>
        <w:tc>
          <w:tcPr>
            <w:tcW w:type="dxa" w:w="3312"/>
            <w:shd w:val="clear" w:fill="D0FF00"/>
          </w:tcPr>
          <w:p>
            <w:r/>
            <w:r>
              <w:rPr>
                <w:b/>
                <w:sz w:val="18"/>
              </w:rPr>
              <w:t>Process step</w:t>
            </w:r>
          </w:p>
        </w:tc>
        <w:tc>
          <w:tcPr>
            <w:tcW w:type="dxa" w:w="3312"/>
            <w:shd w:val="clear" w:fill="D0FF00"/>
          </w:tcPr>
          <w:p>
            <w:r/>
            <w:r>
              <w:rPr>
                <w:b/>
                <w:sz w:val="18"/>
              </w:rPr>
              <w:t>Access route(Fiori / Web GUI / SAP GUI for Windows / other)</w:t>
            </w:r>
          </w:p>
        </w:tc>
        <w:tc>
          <w:tcPr>
            <w:tcW w:type="dxa" w:w="3312"/>
            <w:shd w:val="clear" w:fill="D0FF00"/>
          </w:tcPr>
          <w:p>
            <w:r/>
            <w:r>
              <w:rPr>
                <w:b/>
                <w:sz w:val="18"/>
              </w:rPr>
              <w:t>In scope for browser automation?</w:t>
            </w:r>
          </w:p>
        </w:tc>
      </w:tr>
      <w:tr>
        <w:tc>
          <w:tcPr>
            <w:tcW w:type="dxa" w:w="3312"/>
          </w:tcPr>
          <w:p>
            <w:r>
              <w:rPr>
                <w:sz w:val="18"/>
              </w:rPr>
            </w:r>
            <w:r>
              <w:rPr>
                <w:b w:val="0"/>
                <w:i w:val="0"/>
                <w:sz w:val="18"/>
              </w:rPr>
              <w:t>[FUT-O2C-010]</w:t>
            </w:r>
          </w:p>
        </w:tc>
        <w:tc>
          <w:tcPr>
            <w:tcW w:type="dxa" w:w="3312"/>
          </w:tcPr>
          <w:p>
            <w:r>
              <w:rPr>
                <w:sz w:val="18"/>
              </w:rPr>
            </w:r>
            <w:r>
              <w:rPr>
                <w:b w:val="0"/>
                <w:i w:val="0"/>
                <w:sz w:val="18"/>
              </w:rPr>
              <w:t>[Fiori F1234]</w:t>
            </w:r>
          </w:p>
        </w:tc>
        <w:tc>
          <w:tcPr>
            <w:tcW w:type="dxa" w:w="3312"/>
          </w:tcPr>
          <w:p>
            <w:r>
              <w:rPr>
                <w:sz w:val="18"/>
              </w:rPr>
            </w:r>
            <w:r>
              <w:rPr>
                <w:b w:val="0"/>
                <w:i w:val="0"/>
                <w:sz w:val="18"/>
              </w:rPr>
              <w:t>[yes]</w:t>
            </w:r>
          </w:p>
        </w:tc>
      </w:tr>
      <w:tr>
        <w:tc>
          <w:tcPr>
            <w:tcW w:type="dxa" w:w="3312"/>
          </w:tcPr>
          <w:p>
            <w:r>
              <w:rPr>
                <w:sz w:val="18"/>
              </w:rPr>
            </w:r>
          </w:p>
        </w:tc>
        <w:tc>
          <w:tcPr>
            <w:tcW w:type="dxa" w:w="3312"/>
          </w:tcPr>
          <w:p>
            <w:r>
              <w:rPr>
                <w:sz w:val="18"/>
              </w:rPr>
            </w:r>
          </w:p>
        </w:tc>
        <w:tc>
          <w:tcPr>
            <w:tcW w:type="dxa" w:w="3312"/>
          </w:tcPr>
          <w:p>
            <w:r>
              <w:rPr>
                <w:sz w:val="18"/>
              </w:rPr>
            </w:r>
          </w:p>
        </w:tc>
      </w:tr>
    </w:tbl>
    <w:p/>
    <w:p>
      <w:pPr>
        <w:pStyle w:val="Heading2"/>
      </w:pPr>
      <w:r>
        <w:rPr>
          <w:b/>
          <w:color w:val="0A0F0E"/>
          <w:sz w:val="26"/>
        </w:rPr>
        <w:t>5. Authorizations</w:t>
      </w:r>
    </w:p>
    <w:p>
      <w:pPr>
        <w:ind w:left="216"/>
      </w:pPr>
      <w:r>
        <w:rPr>
          <w:b w:val="0"/>
          <w:i/>
          <w:color w:val="2B4A44"/>
        </w:rPr>
        <w:t>Roles are usually tested last and cause defects first. Include them here rather than discovering them in UAT.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fill="D0FF00"/>
          </w:tcPr>
          <w:p>
            <w:r/>
            <w:r>
              <w:rPr>
                <w:b/>
                <w:sz w:val="18"/>
              </w:rPr>
              <w:t>Role</w:t>
            </w:r>
          </w:p>
        </w:tc>
        <w:tc>
          <w:tcPr>
            <w:tcW w:type="dxa" w:w="2484"/>
            <w:shd w:val="clear" w:fill="D0FF00"/>
          </w:tcPr>
          <w:p>
            <w:r/>
            <w:r>
              <w:rPr>
                <w:b/>
                <w:sz w:val="18"/>
              </w:rPr>
              <w:t>Process steps it must allow</w:t>
            </w:r>
          </w:p>
        </w:tc>
        <w:tc>
          <w:tcPr>
            <w:tcW w:type="dxa" w:w="2484"/>
            <w:shd w:val="clear" w:fill="D0FF00"/>
          </w:tcPr>
          <w:p>
            <w:r/>
            <w:r>
              <w:rPr>
                <w:b/>
                <w:sz w:val="18"/>
              </w:rPr>
              <w:t>Steps it must not allow</w:t>
            </w:r>
          </w:p>
        </w:tc>
        <w:tc>
          <w:tcPr>
            <w:tcW w:type="dxa" w:w="2484"/>
            <w:shd w:val="clear" w:fill="D0FF00"/>
          </w:tcPr>
          <w:p>
            <w:r/>
            <w:r>
              <w:rPr>
                <w:b/>
                <w:sz w:val="18"/>
              </w:rPr>
              <w:t>Tested?</w:t>
            </w:r>
          </w:p>
        </w:tc>
      </w:tr>
      <w:tr>
        <w:tc>
          <w:tcPr>
            <w:tcW w:type="dxa" w:w="2484"/>
          </w:tcPr>
          <w:p>
            <w:r>
              <w:rPr>
                <w:sz w:val="18"/>
              </w:rPr>
            </w:r>
            <w:r>
              <w:rPr>
                <w:b w:val="0"/>
                <w:i w:val="0"/>
                <w:sz w:val="18"/>
              </w:rPr>
              <w:t>[Z_SD_CLERK]</w:t>
            </w:r>
          </w:p>
        </w:tc>
        <w:tc>
          <w:tcPr>
            <w:tcW w:type="dxa" w:w="2484"/>
          </w:tcPr>
          <w:p>
            <w:r>
              <w:rPr>
                <w:sz w:val="18"/>
              </w:rPr>
            </w:r>
            <w:r>
              <w:rPr>
                <w:b w:val="0"/>
                <w:i w:val="0"/>
                <w:sz w:val="18"/>
              </w:rPr>
              <w:t>[create order, display customer]</w:t>
            </w:r>
          </w:p>
        </w:tc>
        <w:tc>
          <w:tcPr>
            <w:tcW w:type="dxa" w:w="2484"/>
          </w:tcPr>
          <w:p>
            <w:r>
              <w:rPr>
                <w:sz w:val="18"/>
              </w:rPr>
            </w:r>
            <w:r>
              <w:rPr>
                <w:b w:val="0"/>
                <w:i w:val="0"/>
                <w:sz w:val="18"/>
              </w:rPr>
              <w:t>[release credit block]</w:t>
            </w:r>
          </w:p>
        </w:tc>
        <w:tc>
          <w:tcPr>
            <w:tcW w:type="dxa" w:w="2484"/>
          </w:tcPr>
          <w:p>
            <w:r>
              <w:rPr>
                <w:sz w:val="18"/>
              </w:rPr>
            </w:r>
            <w:r>
              <w:rPr>
                <w:b w:val="0"/>
                <w:i w:val="0"/>
                <w:sz w:val="18"/>
              </w:rPr>
              <w:t>[  ]</w:t>
            </w:r>
          </w:p>
        </w:tc>
      </w:tr>
      <w:tr>
        <w:tc>
          <w:tcPr>
            <w:tcW w:type="dxa" w:w="2484"/>
          </w:tcPr>
          <w:p>
            <w:r>
              <w:rPr>
                <w:sz w:val="18"/>
              </w:rPr>
            </w:r>
          </w:p>
        </w:tc>
        <w:tc>
          <w:tcPr>
            <w:tcW w:type="dxa" w:w="2484"/>
          </w:tcPr>
          <w:p>
            <w:r>
              <w:rPr>
                <w:sz w:val="18"/>
              </w:rPr>
            </w:r>
          </w:p>
        </w:tc>
        <w:tc>
          <w:tcPr>
            <w:tcW w:type="dxa" w:w="2484"/>
          </w:tcPr>
          <w:p>
            <w:r>
              <w:rPr>
                <w:sz w:val="18"/>
              </w:rPr>
            </w:r>
          </w:p>
        </w:tc>
        <w:tc>
          <w:tcPr>
            <w:tcW w:type="dxa" w:w="2484"/>
          </w:tcPr>
          <w:p>
            <w:r>
              <w:rPr>
                <w:sz w:val="18"/>
              </w:rPr>
            </w:r>
          </w:p>
        </w:tc>
      </w:tr>
    </w:tbl>
    <w:p/>
    <w:p>
      <w:pPr>
        <w:ind w:left="216"/>
      </w:pPr>
      <w:r>
        <w:rPr>
          <w:b w:val="0"/>
          <w:i w:val="0"/>
          <w:color w:val="2B4A44"/>
        </w:rPr>
        <w:t>The negative column is the valuable one, and the one almost always left empty.</w:t>
      </w:r>
    </w:p>
    <w:p>
      <w:pPr>
        <w:pStyle w:val="Heading2"/>
      </w:pPr>
      <w:r>
        <w:rPr>
          <w:b/>
          <w:color w:val="0A0F0E"/>
          <w:sz w:val="26"/>
        </w:rPr>
        <w:t>6. Defects and exit</w:t>
      </w:r>
    </w:p>
    <w:tbl>
      <w:tblPr>
        <w:tblStyle w:val="TableGrid"/>
        <w:tblW w:type="auto" w:w="0"/>
        <w:tblLook w:firstColumn="1" w:firstRow="1" w:lastColumn="0" w:lastRow="0" w:noHBand="0" w:noVBand="1" w:val="04A0"/>
      </w:tblPr>
      <w:tblGrid>
        <w:gridCol w:w="4968"/>
        <w:gridCol w:w="4968"/>
      </w:tblGrid>
      <w:tr>
        <w:tc>
          <w:tcPr>
            <w:tcW w:type="dxa" w:w="4968"/>
            <w:shd w:val="clear" w:fill="D0FF00"/>
          </w:tcPr>
          <w:p>
            <w:r/>
            <w:r>
              <w:rPr>
                <w:b/>
                <w:sz w:val="18"/>
              </w:rPr>
              <w:t>Exit criterion</w:t>
            </w:r>
          </w:p>
        </w:tc>
        <w:tc>
          <w:tcPr>
            <w:tcW w:type="dxa" w:w="4968"/>
            <w:shd w:val="clear" w:fill="D0FF00"/>
          </w:tcPr>
          <w:p>
            <w:r/>
            <w:r>
              <w:rPr>
                <w:b/>
                <w:sz w:val="18"/>
              </w:rPr>
              <w:t>Met?</w:t>
            </w:r>
          </w:p>
        </w:tc>
      </w:tr>
      <w:tr>
        <w:tc>
          <w:tcPr>
            <w:tcW w:type="dxa" w:w="4968"/>
          </w:tcPr>
          <w:p>
            <w:r>
              <w:rPr>
                <w:sz w:val="18"/>
              </w:rPr>
            </w:r>
            <w:r>
              <w:rPr>
                <w:b w:val="0"/>
                <w:i w:val="0"/>
                <w:sz w:val="18"/>
              </w:rPr>
              <w:t>Every in-scope WRICEF object has a TUT result and attached evidence</w:t>
            </w:r>
          </w:p>
        </w:tc>
        <w:tc>
          <w:tcPr>
            <w:tcW w:type="dxa" w:w="4968"/>
          </w:tcPr>
          <w:p>
            <w:r>
              <w:rPr>
                <w:sz w:val="18"/>
              </w:rPr>
            </w:r>
            <w:r>
              <w:rPr>
                <w:b w:val="0"/>
                <w:i w:val="0"/>
                <w:sz w:val="18"/>
              </w:rPr>
              <w:t>[  ]</w:t>
            </w:r>
          </w:p>
        </w:tc>
      </w:tr>
      <w:tr>
        <w:tc>
          <w:tcPr>
            <w:tcW w:type="dxa" w:w="4968"/>
          </w:tcPr>
          <w:p>
            <w:r>
              <w:rPr>
                <w:sz w:val="18"/>
              </w:rPr>
            </w:r>
            <w:r>
              <w:rPr>
                <w:b w:val="0"/>
                <w:i w:val="0"/>
                <w:sz w:val="18"/>
              </w:rPr>
              <w:t>Every in-scope process step has a FUT result</w:t>
            </w:r>
          </w:p>
        </w:tc>
        <w:tc>
          <w:tcPr>
            <w:tcW w:type="dxa" w:w="4968"/>
          </w:tcPr>
          <w:p>
            <w:r>
              <w:rPr>
                <w:sz w:val="18"/>
              </w:rPr>
            </w:r>
            <w:r>
              <w:rPr>
                <w:b w:val="0"/>
                <w:i w:val="0"/>
                <w:sz w:val="18"/>
              </w:rPr>
              <w:t>[  ]</w:t>
            </w:r>
          </w:p>
        </w:tc>
      </w:tr>
      <w:tr>
        <w:tc>
          <w:tcPr>
            <w:tcW w:type="dxa" w:w="4968"/>
          </w:tcPr>
          <w:p>
            <w:r>
              <w:rPr>
                <w:sz w:val="18"/>
              </w:rPr>
            </w:r>
            <w:r>
              <w:rPr>
                <w:b w:val="0"/>
                <w:i w:val="0"/>
                <w:sz w:val="18"/>
              </w:rPr>
              <w:t>No open severity 1 or 2 defects at unit level</w:t>
            </w:r>
          </w:p>
        </w:tc>
        <w:tc>
          <w:tcPr>
            <w:tcW w:type="dxa" w:w="4968"/>
          </w:tcPr>
          <w:p>
            <w:r>
              <w:rPr>
                <w:sz w:val="18"/>
              </w:rPr>
            </w:r>
            <w:r>
              <w:rPr>
                <w:b w:val="0"/>
                <w:i w:val="0"/>
                <w:sz w:val="18"/>
              </w:rPr>
              <w:t>[  ]</w:t>
            </w:r>
          </w:p>
        </w:tc>
      </w:tr>
      <w:tr>
        <w:tc>
          <w:tcPr>
            <w:tcW w:type="dxa" w:w="4968"/>
          </w:tcPr>
          <w:p>
            <w:r>
              <w:rPr>
                <w:sz w:val="18"/>
              </w:rPr>
            </w:r>
            <w:r>
              <w:rPr>
                <w:b w:val="0"/>
                <w:i w:val="0"/>
                <w:sz w:val="18"/>
              </w:rPr>
              <w:t>Access routes classified for every in-scope step</w:t>
            </w:r>
          </w:p>
        </w:tc>
        <w:tc>
          <w:tcPr>
            <w:tcW w:type="dxa" w:w="4968"/>
          </w:tcPr>
          <w:p>
            <w:r>
              <w:rPr>
                <w:sz w:val="18"/>
              </w:rPr>
            </w:r>
            <w:r>
              <w:rPr>
                <w:b w:val="0"/>
                <w:i w:val="0"/>
                <w:sz w:val="18"/>
              </w:rPr>
              <w:t>[  ]</w:t>
            </w:r>
          </w:p>
        </w:tc>
      </w:tr>
      <w:tr>
        <w:tc>
          <w:tcPr>
            <w:tcW w:type="dxa" w:w="4968"/>
          </w:tcPr>
          <w:p>
            <w:r>
              <w:rPr>
                <w:sz w:val="18"/>
              </w:rPr>
            </w:r>
            <w:r>
              <w:rPr>
                <w:b w:val="0"/>
                <w:i w:val="0"/>
                <w:sz w:val="18"/>
              </w:rPr>
              <w:t>FUT scripts reviewed for reuse in SIT and regression</w:t>
            </w:r>
          </w:p>
        </w:tc>
        <w:tc>
          <w:tcPr>
            <w:tcW w:type="dxa" w:w="4968"/>
          </w:tcPr>
          <w:p>
            <w:r>
              <w:rPr>
                <w:sz w:val="18"/>
              </w:rPr>
            </w:r>
            <w:r>
              <w:rPr>
                <w:b w:val="0"/>
                <w:i w:val="0"/>
                <w:sz w:val="18"/>
              </w:rPr>
              <w:t>[  ]</w:t>
            </w:r>
          </w:p>
        </w:tc>
      </w:tr>
    </w:tbl>
    <w:p/>
    <w:p>
      <w:pPr>
        <w:ind w:left="216"/>
      </w:pPr>
      <w:r>
        <w:rPr>
          <w:b/>
          <w:i w:val="0"/>
          <w:color w:val="2B4A44"/>
        </w:rPr>
        <w:t>With Functionize Studio:</w:t>
      </w:r>
      <w:r>
        <w:rPr>
          <w:b w:val="0"/>
          <w:i w:val="0"/>
          <w:color w:val="2B4A44"/>
        </w:rPr>
        <w:t xml:space="preserve"> a reviewed FUT script is already most of what an automated test needs, because the description of intent and the expected value are the same in both. Tagging candidates during FUT rather than after SIT is the cheapest moment to do it.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2B4A44"/>
        <w:sz w:val="15"/>
      </w:rPr>
      <w:t>SAP TUT and FUT Test Plan  —  Functionize template  —  www.functionize.com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71600" cy="298938"/>
          <wp:docPr id="1" name="Picture 1"/>
          <wp:cNvGraphicFramePr>
            <a:graphicFrameLocks noChangeAspect="1"/>
          </wp:cNvGraphicFramePr>
          <a:graphic>
            <a:graphicData uri="http://schemas.openxmlformats.org/drawingml/2006/picture">
              <pic:pic>
                <pic:nvPicPr>
                  <pic:cNvPr id="0" name="logo-ink.png"/>
                  <pic:cNvPicPr/>
                </pic:nvPicPr>
                <pic:blipFill>
                  <a:blip r:embed="rId1"/>
                  <a:stretch>
                    <a:fillRect/>
                  </a:stretch>
                </pic:blipFill>
                <pic:spPr>
                  <a:xfrm>
                    <a:off x="0" y="0"/>
                    <a:ext cx="1371600" cy="29893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